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94A" w:rsidRPr="00A02EB5" w:rsidRDefault="00B4494A" w:rsidP="00B4494A">
      <w:pPr>
        <w:rPr>
          <w:b/>
          <w:color w:val="auto"/>
          <w:sz w:val="24"/>
        </w:rPr>
      </w:pPr>
      <w:r w:rsidRPr="00A02EB5">
        <w:rPr>
          <w:b/>
          <w:color w:val="auto"/>
          <w:sz w:val="24"/>
        </w:rPr>
        <w:t>Novel Fanconi anemia E3 ligase RFWD3 promotes removal of both RPA and RAD51 from DNA damage sites during ICL repair</w:t>
      </w:r>
    </w:p>
    <w:p w:rsidR="00A02EB5" w:rsidRPr="00B4494A" w:rsidRDefault="00A02EB5" w:rsidP="00181F4F">
      <w:pPr>
        <w:autoSpaceDE w:val="0"/>
        <w:autoSpaceDN w:val="0"/>
        <w:adjustRightInd w:val="0"/>
        <w:rPr>
          <w:rFonts w:cs="Helvetica"/>
          <w:color w:val="auto"/>
          <w:kern w:val="0"/>
          <w:sz w:val="24"/>
          <w:szCs w:val="24"/>
        </w:rPr>
      </w:pPr>
    </w:p>
    <w:p w:rsidR="00181F4F" w:rsidRPr="00181F4F" w:rsidRDefault="00181F4F" w:rsidP="00181F4F">
      <w:pPr>
        <w:rPr>
          <w:color w:val="auto"/>
          <w:sz w:val="24"/>
        </w:rPr>
      </w:pPr>
      <w:proofErr w:type="spellStart"/>
      <w:r w:rsidRPr="00181F4F">
        <w:rPr>
          <w:color w:val="auto"/>
          <w:sz w:val="24"/>
        </w:rPr>
        <w:t>Shojiro</w:t>
      </w:r>
      <w:proofErr w:type="spellEnd"/>
      <w:r w:rsidRPr="00181F4F">
        <w:rPr>
          <w:color w:val="auto"/>
          <w:sz w:val="24"/>
        </w:rPr>
        <w:t xml:space="preserve"> Inano</w:t>
      </w:r>
      <w:r w:rsidRPr="00181F4F">
        <w:rPr>
          <w:color w:val="auto"/>
          <w:sz w:val="24"/>
          <w:vertAlign w:val="superscript"/>
        </w:rPr>
        <w:t>1</w:t>
      </w:r>
      <w:r w:rsidRPr="00181F4F">
        <w:rPr>
          <w:color w:val="auto"/>
          <w:sz w:val="24"/>
        </w:rPr>
        <w:t>, Koichi Sato</w:t>
      </w:r>
      <w:r w:rsidRPr="00181F4F">
        <w:rPr>
          <w:color w:val="auto"/>
          <w:sz w:val="24"/>
          <w:vertAlign w:val="superscript"/>
        </w:rPr>
        <w:t>2</w:t>
      </w:r>
      <w:r w:rsidRPr="00181F4F">
        <w:rPr>
          <w:color w:val="auto"/>
          <w:sz w:val="24"/>
        </w:rPr>
        <w:t>, Yoko Katsuki</w:t>
      </w:r>
      <w:r w:rsidRPr="00181F4F">
        <w:rPr>
          <w:color w:val="auto"/>
          <w:sz w:val="24"/>
          <w:vertAlign w:val="superscript"/>
        </w:rPr>
        <w:t>1</w:t>
      </w:r>
      <w:r w:rsidRPr="00181F4F">
        <w:rPr>
          <w:color w:val="auto"/>
          <w:sz w:val="24"/>
        </w:rPr>
        <w:t>,</w:t>
      </w:r>
      <w:r w:rsidRPr="00181F4F">
        <w:rPr>
          <w:rFonts w:cs="Helvetica"/>
          <w:color w:val="auto"/>
          <w:kern w:val="0"/>
          <w:sz w:val="24"/>
        </w:rPr>
        <w:t xml:space="preserve"> Kerstin Knies</w:t>
      </w:r>
      <w:r w:rsidRPr="00181F4F">
        <w:rPr>
          <w:color w:val="auto"/>
          <w:sz w:val="24"/>
          <w:vertAlign w:val="superscript"/>
        </w:rPr>
        <w:t>3</w:t>
      </w:r>
      <w:r w:rsidRPr="00181F4F">
        <w:rPr>
          <w:color w:val="auto"/>
          <w:sz w:val="24"/>
        </w:rPr>
        <w:t>, Shinichiro Nakada</w:t>
      </w:r>
      <w:r w:rsidRPr="00181F4F">
        <w:rPr>
          <w:color w:val="auto"/>
          <w:sz w:val="24"/>
          <w:vertAlign w:val="superscript"/>
        </w:rPr>
        <w:t>4</w:t>
      </w:r>
      <w:r w:rsidRPr="00181F4F">
        <w:rPr>
          <w:color w:val="auto"/>
          <w:sz w:val="24"/>
        </w:rPr>
        <w:t xml:space="preserve">, </w:t>
      </w:r>
      <w:proofErr w:type="spellStart"/>
      <w:r w:rsidRPr="00181F4F">
        <w:rPr>
          <w:color w:val="auto"/>
          <w:sz w:val="24"/>
        </w:rPr>
        <w:t>Akifumi</w:t>
      </w:r>
      <w:proofErr w:type="spellEnd"/>
      <w:r w:rsidRPr="00181F4F">
        <w:rPr>
          <w:color w:val="auto"/>
          <w:sz w:val="24"/>
        </w:rPr>
        <w:t xml:space="preserve"> Takaori-Kondo</w:t>
      </w:r>
      <w:r w:rsidRPr="00181F4F">
        <w:rPr>
          <w:color w:val="auto"/>
          <w:sz w:val="24"/>
          <w:vertAlign w:val="superscript"/>
        </w:rPr>
        <w:t>5</w:t>
      </w:r>
      <w:r w:rsidRPr="00181F4F">
        <w:rPr>
          <w:color w:val="auto"/>
          <w:sz w:val="24"/>
        </w:rPr>
        <w:t xml:space="preserve">, </w:t>
      </w:r>
      <w:proofErr w:type="spellStart"/>
      <w:r w:rsidRPr="00181F4F">
        <w:rPr>
          <w:color w:val="auto"/>
          <w:sz w:val="24"/>
        </w:rPr>
        <w:t>Detlev</w:t>
      </w:r>
      <w:proofErr w:type="spellEnd"/>
      <w:r w:rsidRPr="00181F4F">
        <w:rPr>
          <w:color w:val="auto"/>
          <w:sz w:val="24"/>
        </w:rPr>
        <w:t xml:space="preserve"> Schindler</w:t>
      </w:r>
      <w:r w:rsidRPr="00181F4F">
        <w:rPr>
          <w:color w:val="auto"/>
          <w:sz w:val="24"/>
          <w:vertAlign w:val="superscript"/>
        </w:rPr>
        <w:t>3</w:t>
      </w:r>
      <w:r w:rsidRPr="00181F4F">
        <w:rPr>
          <w:color w:val="auto"/>
          <w:sz w:val="24"/>
        </w:rPr>
        <w:t xml:space="preserve">, </w:t>
      </w:r>
      <w:proofErr w:type="spellStart"/>
      <w:r w:rsidRPr="00181F4F">
        <w:rPr>
          <w:color w:val="auto"/>
          <w:sz w:val="24"/>
        </w:rPr>
        <w:t>Masamicih</w:t>
      </w:r>
      <w:proofErr w:type="spellEnd"/>
      <w:r w:rsidRPr="00181F4F">
        <w:rPr>
          <w:color w:val="auto"/>
          <w:sz w:val="24"/>
        </w:rPr>
        <w:t xml:space="preserve"> Ishiai</w:t>
      </w:r>
      <w:r w:rsidRPr="00181F4F">
        <w:rPr>
          <w:color w:val="auto"/>
          <w:sz w:val="24"/>
          <w:vertAlign w:val="superscript"/>
        </w:rPr>
        <w:t>1</w:t>
      </w:r>
      <w:r w:rsidRPr="00181F4F">
        <w:rPr>
          <w:color w:val="auto"/>
          <w:sz w:val="24"/>
        </w:rPr>
        <w:t>, Hitoshi Kurumizaka</w:t>
      </w:r>
      <w:r w:rsidRPr="00181F4F">
        <w:rPr>
          <w:color w:val="auto"/>
          <w:sz w:val="24"/>
          <w:vertAlign w:val="superscript"/>
        </w:rPr>
        <w:t>2</w:t>
      </w:r>
      <w:r w:rsidRPr="00181F4F">
        <w:rPr>
          <w:color w:val="auto"/>
          <w:sz w:val="24"/>
        </w:rPr>
        <w:t>, Minoru Takata</w:t>
      </w:r>
      <w:r w:rsidRPr="00181F4F">
        <w:rPr>
          <w:color w:val="auto"/>
          <w:sz w:val="24"/>
          <w:vertAlign w:val="superscript"/>
        </w:rPr>
        <w:t>3</w:t>
      </w:r>
    </w:p>
    <w:p w:rsidR="00A02EB5" w:rsidRPr="00181F4F" w:rsidRDefault="00A02EB5" w:rsidP="00181F4F">
      <w:pPr>
        <w:autoSpaceDE w:val="0"/>
        <w:autoSpaceDN w:val="0"/>
        <w:adjustRightInd w:val="0"/>
        <w:rPr>
          <w:rFonts w:cs="Helvetica"/>
          <w:color w:val="auto"/>
          <w:kern w:val="0"/>
          <w:sz w:val="24"/>
          <w:szCs w:val="24"/>
        </w:rPr>
      </w:pPr>
    </w:p>
    <w:p w:rsidR="00181F4F" w:rsidRPr="00181F4F" w:rsidRDefault="00181F4F" w:rsidP="00181F4F">
      <w:pPr>
        <w:rPr>
          <w:color w:val="auto"/>
          <w:sz w:val="24"/>
        </w:rPr>
      </w:pPr>
      <w:r w:rsidRPr="00181F4F">
        <w:rPr>
          <w:rFonts w:cs="Times"/>
          <w:color w:val="auto"/>
          <w:sz w:val="24"/>
          <w:vertAlign w:val="superscript"/>
        </w:rPr>
        <w:t>1</w:t>
      </w:r>
      <w:r w:rsidRPr="00181F4F">
        <w:rPr>
          <w:color w:val="auto"/>
          <w:sz w:val="24"/>
        </w:rPr>
        <w:t>Laboratory of DNA Damage Signaling, Department of Late Effects Studies, Radiation</w:t>
      </w:r>
    </w:p>
    <w:p w:rsidR="00181F4F" w:rsidRPr="00181F4F" w:rsidRDefault="00181F4F" w:rsidP="00181F4F">
      <w:pPr>
        <w:rPr>
          <w:color w:val="auto"/>
          <w:sz w:val="24"/>
        </w:rPr>
      </w:pPr>
      <w:r w:rsidRPr="00181F4F">
        <w:rPr>
          <w:color w:val="auto"/>
          <w:sz w:val="24"/>
        </w:rPr>
        <w:t>Biology Center, Kyoto University, Kyoto Japan.</w:t>
      </w:r>
    </w:p>
    <w:p w:rsidR="00181F4F" w:rsidRPr="00181F4F" w:rsidRDefault="00181F4F" w:rsidP="00181F4F">
      <w:pPr>
        <w:spacing w:before="2" w:after="2"/>
        <w:rPr>
          <w:color w:val="auto"/>
          <w:kern w:val="0"/>
          <w:sz w:val="24"/>
        </w:rPr>
      </w:pPr>
      <w:r w:rsidRPr="00181F4F">
        <w:rPr>
          <w:color w:val="auto"/>
          <w:kern w:val="0"/>
          <w:sz w:val="24"/>
          <w:vertAlign w:val="superscript"/>
        </w:rPr>
        <w:t>2</w:t>
      </w:r>
      <w:r w:rsidRPr="00181F4F">
        <w:rPr>
          <w:color w:val="auto"/>
          <w:kern w:val="0"/>
          <w:sz w:val="24"/>
        </w:rPr>
        <w:t xml:space="preserve">Laboratory of Structural Biology, Graduate School of Advanced Science and Engineering, Waseda University, Tokyo, Japan </w:t>
      </w:r>
    </w:p>
    <w:p w:rsidR="00181F4F" w:rsidRPr="00181F4F" w:rsidRDefault="00181F4F" w:rsidP="00181F4F">
      <w:pPr>
        <w:spacing w:before="2" w:after="2"/>
        <w:rPr>
          <w:color w:val="auto"/>
          <w:kern w:val="0"/>
          <w:sz w:val="24"/>
        </w:rPr>
      </w:pPr>
      <w:r w:rsidRPr="00181F4F">
        <w:rPr>
          <w:color w:val="auto"/>
          <w:sz w:val="24"/>
          <w:vertAlign w:val="superscript"/>
        </w:rPr>
        <w:t>3</w:t>
      </w:r>
      <w:r w:rsidRPr="00181F4F">
        <w:rPr>
          <w:color w:val="auto"/>
          <w:kern w:val="0"/>
          <w:sz w:val="24"/>
        </w:rPr>
        <w:t xml:space="preserve">Department of Human Genetics, </w:t>
      </w:r>
      <w:proofErr w:type="spellStart"/>
      <w:r w:rsidRPr="00181F4F">
        <w:rPr>
          <w:color w:val="auto"/>
          <w:kern w:val="0"/>
          <w:sz w:val="24"/>
        </w:rPr>
        <w:t>Biozentrum</w:t>
      </w:r>
      <w:proofErr w:type="spellEnd"/>
      <w:r w:rsidRPr="00181F4F">
        <w:rPr>
          <w:color w:val="auto"/>
          <w:kern w:val="0"/>
          <w:sz w:val="24"/>
        </w:rPr>
        <w:t xml:space="preserve">, University of Wurzburg, Wurzburg, Germany </w:t>
      </w:r>
    </w:p>
    <w:p w:rsidR="00181F4F" w:rsidRPr="00181F4F" w:rsidRDefault="00181F4F" w:rsidP="00181F4F">
      <w:pPr>
        <w:pStyle w:val="Web"/>
        <w:spacing w:beforeLines="0" w:afterLines="0"/>
        <w:rPr>
          <w:rFonts w:ascii="Times New Roman" w:hAnsi="Times New Roman"/>
          <w:sz w:val="24"/>
        </w:rPr>
      </w:pPr>
      <w:r w:rsidRPr="00181F4F">
        <w:rPr>
          <w:rFonts w:ascii="Times New Roman" w:hAnsi="Times New Roman"/>
          <w:kern w:val="2"/>
          <w:sz w:val="24"/>
          <w:vertAlign w:val="superscript"/>
        </w:rPr>
        <w:t>4</w:t>
      </w:r>
      <w:r w:rsidRPr="00181F4F">
        <w:rPr>
          <w:rFonts w:ascii="Times New Roman" w:hAnsi="Times New Roman"/>
          <w:sz w:val="24"/>
        </w:rPr>
        <w:t xml:space="preserve">Department of Bioregulation and Cellular Response, Graduate School of Medicine, Osaka University, Osaka, Japan, </w:t>
      </w:r>
    </w:p>
    <w:p w:rsidR="00181F4F" w:rsidRPr="00181F4F" w:rsidRDefault="00181F4F" w:rsidP="00181F4F">
      <w:pPr>
        <w:autoSpaceDE w:val="0"/>
        <w:autoSpaceDN w:val="0"/>
        <w:adjustRightInd w:val="0"/>
        <w:rPr>
          <w:color w:val="auto"/>
          <w:sz w:val="24"/>
        </w:rPr>
      </w:pPr>
      <w:r w:rsidRPr="00181F4F">
        <w:rPr>
          <w:color w:val="auto"/>
          <w:sz w:val="24"/>
          <w:vertAlign w:val="superscript"/>
        </w:rPr>
        <w:t>5</w:t>
      </w:r>
      <w:r w:rsidRPr="00181F4F">
        <w:rPr>
          <w:color w:val="auto"/>
          <w:sz w:val="24"/>
        </w:rPr>
        <w:t xml:space="preserve">Department of Hematology and Oncology, Graduate School of Medicine, Kyoto Uni- </w:t>
      </w:r>
      <w:proofErr w:type="spellStart"/>
      <w:r w:rsidRPr="00181F4F">
        <w:rPr>
          <w:color w:val="auto"/>
          <w:sz w:val="24"/>
        </w:rPr>
        <w:t>versity</w:t>
      </w:r>
      <w:proofErr w:type="spellEnd"/>
      <w:r w:rsidRPr="00181F4F">
        <w:rPr>
          <w:color w:val="auto"/>
          <w:sz w:val="24"/>
        </w:rPr>
        <w:t>, Kyoto, Japan.</w:t>
      </w:r>
    </w:p>
    <w:p w:rsidR="00BB7402" w:rsidRPr="00A02EB5" w:rsidRDefault="00BB7402" w:rsidP="00181F4F">
      <w:pPr>
        <w:autoSpaceDE w:val="0"/>
        <w:autoSpaceDN w:val="0"/>
        <w:adjustRightInd w:val="0"/>
        <w:rPr>
          <w:rFonts w:cs="Helvetica"/>
          <w:color w:val="auto"/>
          <w:kern w:val="0"/>
          <w:sz w:val="24"/>
          <w:szCs w:val="24"/>
        </w:rPr>
      </w:pPr>
    </w:p>
    <w:p w:rsidR="00BB7402" w:rsidRPr="00A02EB5" w:rsidRDefault="00BB7402" w:rsidP="00BB7402">
      <w:pPr>
        <w:autoSpaceDE w:val="0"/>
        <w:autoSpaceDN w:val="0"/>
        <w:adjustRightInd w:val="0"/>
        <w:rPr>
          <w:rFonts w:cs="Helvetica"/>
          <w:color w:val="auto"/>
          <w:kern w:val="0"/>
          <w:sz w:val="24"/>
          <w:szCs w:val="24"/>
        </w:rPr>
      </w:pPr>
    </w:p>
    <w:p w:rsidR="00A02EB5" w:rsidRPr="00A02EB5" w:rsidRDefault="00A02EB5" w:rsidP="00961C82">
      <w:pPr>
        <w:autoSpaceDE w:val="0"/>
        <w:autoSpaceDN w:val="0"/>
        <w:adjustRightInd w:val="0"/>
        <w:jc w:val="both"/>
        <w:rPr>
          <w:rFonts w:cs="Helvetica"/>
          <w:color w:val="auto"/>
          <w:kern w:val="0"/>
          <w:sz w:val="24"/>
        </w:rPr>
      </w:pPr>
      <w:r w:rsidRPr="00A02EB5">
        <w:rPr>
          <w:color w:val="auto"/>
          <w:sz w:val="24"/>
        </w:rPr>
        <w:t>The Fanconi anaemia (FA) pathway repairs DNA interstrand crosslinks (ICLs) in the genome, and 20 responsible genes have been identified so far. Identification of a novel FA gene would provide a great opportunity to further unveil the mechanism of ICL repair. The whole exome sequencing in a German FA patient has identified biallelic mutations (</w:t>
      </w:r>
      <w:proofErr w:type="gramStart"/>
      <w:r w:rsidRPr="00A02EB5">
        <w:rPr>
          <w:color w:val="auto"/>
          <w:sz w:val="24"/>
        </w:rPr>
        <w:t>p.L</w:t>
      </w:r>
      <w:proofErr w:type="gramEnd"/>
      <w:r w:rsidRPr="00A02EB5">
        <w:rPr>
          <w:color w:val="auto"/>
          <w:sz w:val="24"/>
        </w:rPr>
        <w:t xml:space="preserve">69Pfs12X and p.I639K) in relatively uncharacterized ring-finger E3 ligase gene, </w:t>
      </w:r>
      <w:r w:rsidRPr="00A02EB5">
        <w:rPr>
          <w:i/>
          <w:color w:val="auto"/>
          <w:sz w:val="24"/>
        </w:rPr>
        <w:t>RFWD3</w:t>
      </w:r>
      <w:r w:rsidRPr="00A02EB5">
        <w:rPr>
          <w:color w:val="auto"/>
          <w:sz w:val="24"/>
        </w:rPr>
        <w:t xml:space="preserve">. The patient </w:t>
      </w:r>
      <w:r w:rsidRPr="00A02EB5">
        <w:rPr>
          <w:rFonts w:cs="Helvetica"/>
          <w:color w:val="auto"/>
          <w:kern w:val="0"/>
          <w:sz w:val="24"/>
        </w:rPr>
        <w:t xml:space="preserve">is </w:t>
      </w:r>
      <w:proofErr w:type="spellStart"/>
      <w:r w:rsidRPr="00A02EB5">
        <w:rPr>
          <w:rFonts w:cs="Helvetica"/>
          <w:color w:val="auto"/>
          <w:kern w:val="0"/>
          <w:sz w:val="24"/>
        </w:rPr>
        <w:t>hematologically</w:t>
      </w:r>
      <w:proofErr w:type="spellEnd"/>
      <w:r w:rsidRPr="00A02EB5">
        <w:rPr>
          <w:rFonts w:cs="Helvetica"/>
          <w:color w:val="auto"/>
          <w:kern w:val="0"/>
          <w:sz w:val="24"/>
        </w:rPr>
        <w:t xml:space="preserve"> stable with modestly reduced bone marrow cellularity. </w:t>
      </w:r>
      <w:r w:rsidRPr="00A02EB5">
        <w:rPr>
          <w:color w:val="auto"/>
          <w:sz w:val="24"/>
        </w:rPr>
        <w:t>The E3 ligase activity of RFWD3 toward its interactor RPA has been shown to be critical for homologous recombination (HR) at stalled replication forks (Elia et al. Mol Cell 2015). However, how RFWD3-mediated ubiquitination affects HR remains unclear.</w:t>
      </w:r>
    </w:p>
    <w:p w:rsidR="00BB7402" w:rsidRPr="00A02EB5" w:rsidRDefault="00BB7402" w:rsidP="00961C82">
      <w:pPr>
        <w:autoSpaceDE w:val="0"/>
        <w:autoSpaceDN w:val="0"/>
        <w:adjustRightInd w:val="0"/>
        <w:jc w:val="both"/>
        <w:rPr>
          <w:rFonts w:cs="Helvetica"/>
          <w:color w:val="auto"/>
          <w:kern w:val="0"/>
          <w:sz w:val="24"/>
          <w:szCs w:val="24"/>
        </w:rPr>
      </w:pPr>
    </w:p>
    <w:p w:rsidR="00A02EB5" w:rsidRPr="00A02EB5" w:rsidRDefault="00A02EB5" w:rsidP="00961C82">
      <w:pPr>
        <w:jc w:val="both"/>
        <w:rPr>
          <w:color w:val="auto"/>
          <w:sz w:val="24"/>
        </w:rPr>
      </w:pPr>
      <w:r w:rsidRPr="00A02EB5">
        <w:rPr>
          <w:color w:val="auto"/>
          <w:sz w:val="24"/>
        </w:rPr>
        <w:t xml:space="preserve">Here we identified RAD51, the central HR player, as another target of RFWD3 ubiquitination. We show that MMC triggers ATR/ATM-dependent RFWD3 phosphorylation that is necessary for polyubiquitination of RPA and RAD51. RFWD3 interacts with and polyubiquitinates both RPA and RAD51 </w:t>
      </w:r>
      <w:r w:rsidRPr="00A02EB5">
        <w:rPr>
          <w:i/>
          <w:color w:val="auto"/>
          <w:sz w:val="24"/>
        </w:rPr>
        <w:t xml:space="preserve">in vitro </w:t>
      </w:r>
      <w:r w:rsidRPr="00A02EB5">
        <w:rPr>
          <w:color w:val="auto"/>
          <w:sz w:val="24"/>
        </w:rPr>
        <w:t>and</w:t>
      </w:r>
      <w:r w:rsidRPr="00A02EB5">
        <w:rPr>
          <w:i/>
          <w:color w:val="auto"/>
          <w:sz w:val="24"/>
        </w:rPr>
        <w:t xml:space="preserve"> in vivo</w:t>
      </w:r>
      <w:r w:rsidRPr="00A02EB5">
        <w:rPr>
          <w:color w:val="auto"/>
          <w:sz w:val="24"/>
        </w:rPr>
        <w:t xml:space="preserve">. Following MMC treatment, RFWD3 promotes degradation of RPA and RAD51 and VCP/p97-mediated protein turnover in their foci. Depletion of </w:t>
      </w:r>
      <w:r w:rsidRPr="00A02EB5">
        <w:rPr>
          <w:i/>
          <w:color w:val="auto"/>
          <w:sz w:val="24"/>
        </w:rPr>
        <w:t>BRCA2</w:t>
      </w:r>
      <w:r w:rsidRPr="00A02EB5">
        <w:rPr>
          <w:color w:val="auto"/>
          <w:sz w:val="24"/>
        </w:rPr>
        <w:t xml:space="preserve"> impairs RPA ubiquitination and </w:t>
      </w:r>
      <w:r w:rsidRPr="00A02EB5">
        <w:rPr>
          <w:i/>
          <w:color w:val="auto"/>
          <w:sz w:val="24"/>
        </w:rPr>
        <w:t>RFWD3</w:t>
      </w:r>
      <w:r w:rsidRPr="00A02EB5">
        <w:rPr>
          <w:color w:val="auto"/>
          <w:sz w:val="24"/>
        </w:rPr>
        <w:t xml:space="preserve"> functions </w:t>
      </w:r>
      <w:proofErr w:type="spellStart"/>
      <w:r w:rsidRPr="00A02EB5">
        <w:rPr>
          <w:color w:val="auto"/>
          <w:sz w:val="24"/>
        </w:rPr>
        <w:t>epistatically</w:t>
      </w:r>
      <w:proofErr w:type="spellEnd"/>
      <w:r w:rsidRPr="00A02EB5">
        <w:rPr>
          <w:color w:val="auto"/>
          <w:sz w:val="24"/>
        </w:rPr>
        <w:t xml:space="preserve"> with </w:t>
      </w:r>
      <w:r w:rsidRPr="00A02EB5">
        <w:rPr>
          <w:i/>
          <w:color w:val="auto"/>
          <w:sz w:val="24"/>
        </w:rPr>
        <w:t>BRCA2</w:t>
      </w:r>
      <w:r w:rsidRPr="00A02EB5">
        <w:rPr>
          <w:color w:val="auto"/>
          <w:sz w:val="24"/>
        </w:rPr>
        <w:t xml:space="preserve"> in RPA foci turnover. Furthermore, MMC-induced chromatin loading of both RAD54 and MCM8 are defective in </w:t>
      </w:r>
      <w:r w:rsidRPr="00A02EB5">
        <w:rPr>
          <w:i/>
          <w:color w:val="auto"/>
          <w:sz w:val="24"/>
        </w:rPr>
        <w:t>RFWD3</w:t>
      </w:r>
      <w:r w:rsidRPr="00A02EB5">
        <w:rPr>
          <w:color w:val="auto"/>
          <w:sz w:val="24"/>
        </w:rPr>
        <w:t>-deficient cells. Collectively, we propose that timely removal of RPA and RAD51 from DNA damage sites by RFWD3 ubiquitination is a critical step for the late phase HR to proceed.</w:t>
      </w:r>
    </w:p>
    <w:p w:rsidR="00BB7402" w:rsidRPr="00A02EB5" w:rsidRDefault="00BB7402" w:rsidP="00BB7402">
      <w:pPr>
        <w:autoSpaceDE w:val="0"/>
        <w:autoSpaceDN w:val="0"/>
        <w:adjustRightInd w:val="0"/>
        <w:rPr>
          <w:rFonts w:cs="Helvetica"/>
          <w:color w:val="auto"/>
          <w:kern w:val="0"/>
          <w:sz w:val="24"/>
          <w:szCs w:val="24"/>
        </w:rPr>
      </w:pPr>
    </w:p>
    <w:p w:rsidR="00237F8F" w:rsidRPr="00A02EB5" w:rsidRDefault="00237F8F" w:rsidP="00BB7402">
      <w:pPr>
        <w:rPr>
          <w:color w:val="auto"/>
          <w:sz w:val="24"/>
          <w:szCs w:val="24"/>
        </w:rPr>
      </w:pPr>
      <w:bookmarkStart w:id="0" w:name="_GoBack"/>
      <w:bookmarkEnd w:id="0"/>
    </w:p>
    <w:sectPr w:rsidR="00237F8F" w:rsidRPr="00A02EB5" w:rsidSect="005D7EC8">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5"/>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02"/>
    <w:rsid w:val="00181F4F"/>
    <w:rsid w:val="00237F8F"/>
    <w:rsid w:val="0038528E"/>
    <w:rsid w:val="003A4263"/>
    <w:rsid w:val="00532E9C"/>
    <w:rsid w:val="005D7EC8"/>
    <w:rsid w:val="00654C18"/>
    <w:rsid w:val="00961C82"/>
    <w:rsid w:val="00996084"/>
    <w:rsid w:val="009B5E12"/>
    <w:rsid w:val="00A02EB5"/>
    <w:rsid w:val="00B4494A"/>
    <w:rsid w:val="00BB74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D0889E2"/>
  <w15:docId w15:val="{90CE951B-30C2-624E-8432-008B5D2A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color w:val="FF6600"/>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7F8F"/>
    <w:rPr>
      <w:rFonts w:ascii="ヒラギノ角ゴ Pro W3" w:eastAsia="ヒラギノ角ゴ Pro W3"/>
      <w:szCs w:val="18"/>
    </w:rPr>
  </w:style>
  <w:style w:type="paragraph" w:styleId="Web">
    <w:name w:val="Normal (Web)"/>
    <w:basedOn w:val="a"/>
    <w:uiPriority w:val="99"/>
    <w:rsid w:val="00181F4F"/>
    <w:pPr>
      <w:spacing w:beforeLines="1" w:afterLines="1"/>
    </w:pPr>
    <w:rPr>
      <w:rFonts w:ascii="Times" w:hAnsi="Times"/>
      <w:color w:val="auto"/>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2068</Characters>
  <Application>Microsoft Office Word</Application>
  <DocSecurity>0</DocSecurity>
  <Lines>17</Lines>
  <Paragraphs>4</Paragraphs>
  <ScaleCrop>false</ScaleCrop>
  <Company>RBC, Kyoto University</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 Tomohiro</dc:creator>
  <cp:keywords/>
  <dc:description/>
  <cp:lastModifiedBy>穣 高田</cp:lastModifiedBy>
  <cp:revision>3</cp:revision>
  <dcterms:created xsi:type="dcterms:W3CDTF">2018-08-29T09:05:00Z</dcterms:created>
  <dcterms:modified xsi:type="dcterms:W3CDTF">2018-08-29T09:05:00Z</dcterms:modified>
</cp:coreProperties>
</file>